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7" w:rsidRPr="0082364D" w:rsidRDefault="00101812" w:rsidP="00101812">
      <w:pPr>
        <w:pStyle w:val="Titre"/>
        <w:spacing w:before="0"/>
        <w:rPr>
          <w:lang w:eastAsia="fr-CA"/>
        </w:rPr>
      </w:pPr>
      <w:r>
        <w:rPr>
          <w:lang w:eastAsia="fr-CA"/>
        </w:rPr>
        <w:t>Individuals with sensory and cognitive impairments face additional challenges compared to those</w:t>
      </w:r>
      <w:r w:rsidR="001A7D88">
        <w:rPr>
          <w:lang w:eastAsia="fr-CA"/>
        </w:rPr>
        <w:t xml:space="preserve"> </w:t>
      </w:r>
      <w:r>
        <w:rPr>
          <w:lang w:eastAsia="fr-CA"/>
        </w:rPr>
        <w:t xml:space="preserve">with cognitive difficulties alone: Analysis of </w:t>
      </w:r>
      <w:proofErr w:type="spellStart"/>
      <w:r>
        <w:rPr>
          <w:lang w:eastAsia="fr-CA"/>
        </w:rPr>
        <w:t>interRAI</w:t>
      </w:r>
      <w:proofErr w:type="spellEnd"/>
      <w:r>
        <w:rPr>
          <w:lang w:eastAsia="fr-CA"/>
        </w:rPr>
        <w:t xml:space="preserve"> data from home care and long-term care</w:t>
      </w:r>
    </w:p>
    <w:p w:rsidR="00DC70D0" w:rsidRPr="0082364D" w:rsidRDefault="00DC70D0" w:rsidP="00DC70D0">
      <w:pPr>
        <w:pStyle w:val="Titre1"/>
      </w:pPr>
      <w:bookmarkStart w:id="0" w:name="_Toc512350044"/>
      <w:r w:rsidRPr="0082364D">
        <w:t>Producer notes</w:t>
      </w:r>
      <w:bookmarkEnd w:id="0"/>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w:t>
      </w:r>
      <w:r w:rsidR="00CA6CB6">
        <w:rPr>
          <w:lang w:eastAsia="fr-CA"/>
        </w:rPr>
        <w:t>'</w:t>
      </w:r>
      <w:r w:rsidRPr="0082364D">
        <w:rPr>
          <w:lang w:eastAsia="fr-CA"/>
        </w:rPr>
        <w:t>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w:t>
      </w:r>
      <w:r w:rsidR="00CA6CB6">
        <w:rPr>
          <w:lang w:eastAsia="fr-CA"/>
        </w:rPr>
        <w:t>'</w:t>
      </w:r>
      <w:r w:rsidRPr="0082364D">
        <w:rPr>
          <w:lang w:eastAsia="fr-CA"/>
        </w:rPr>
        <w:t>Assigny</w:t>
      </w:r>
      <w:proofErr w:type="spellEnd"/>
      <w:r w:rsidR="00CA6CB6">
        <w:rPr>
          <w:lang w:eastAsia="fr-CA"/>
        </w:rPr>
        <w:t xml:space="preserve"> </w:t>
      </w:r>
      <w:r w:rsidR="00101812">
        <w:rPr>
          <w:lang w:eastAsia="fr-CA"/>
        </w:rPr>
        <w:t>-</w:t>
      </w:r>
      <w:r w:rsidR="00CA6CB6">
        <w:rPr>
          <w:lang w:eastAsia="fr-CA"/>
        </w:rPr>
        <w:t xml:space="preserve"> </w:t>
      </w:r>
      <w:r w:rsidRPr="0082364D">
        <w:rPr>
          <w:lang w:eastAsia="fr-CA"/>
        </w:rPr>
        <w:t>door 139</w:t>
      </w:r>
      <w:r w:rsidR="000A3638">
        <w:rPr>
          <w:lang w:eastAsia="fr-CA"/>
        </w:rPr>
        <w:br/>
      </w:r>
      <w:proofErr w:type="spellStart"/>
      <w:r w:rsidRPr="0082364D">
        <w:rPr>
          <w:lang w:eastAsia="fr-CA"/>
        </w:rPr>
        <w:t>Longueuil</w:t>
      </w:r>
      <w:proofErr w:type="spellEnd"/>
      <w:r w:rsidRPr="0082364D">
        <w:rPr>
          <w:lang w:eastAsia="fr-CA"/>
        </w:rPr>
        <w:t xml:space="preserve"> (Québec) J4K 5C3</w:t>
      </w:r>
      <w:r w:rsidR="000A3638">
        <w:rPr>
          <w:lang w:eastAsia="fr-CA"/>
        </w:rPr>
        <w:br/>
      </w:r>
      <w:r w:rsidRPr="0082364D">
        <w:rPr>
          <w:lang w:eastAsia="fr-CA"/>
        </w:rPr>
        <w:t>Phone: 450 463-1710, ext. 346</w:t>
      </w:r>
      <w:r w:rsidR="000A3638">
        <w:rPr>
          <w:lang w:eastAsia="fr-CA"/>
        </w:rPr>
        <w:br/>
      </w:r>
      <w:r w:rsidRPr="0082364D">
        <w:rPr>
          <w:lang w:eastAsia="fr-CA"/>
        </w:rPr>
        <w:t>Toll free: 1 800 361-7063, ext. 346</w:t>
      </w:r>
      <w:r w:rsidR="000A3638">
        <w:rPr>
          <w:lang w:eastAsia="fr-CA"/>
        </w:rPr>
        <w:br/>
      </w:r>
      <w:r w:rsidRPr="0082364D">
        <w:rPr>
          <w:lang w:eastAsia="fr-CA"/>
        </w:rPr>
        <w:t>Fax: 450 670-0220</w:t>
      </w:r>
      <w:r w:rsidR="000A3638">
        <w:rPr>
          <w:lang w:eastAsia="fr-CA"/>
        </w:rPr>
        <w:br/>
      </w:r>
      <w:r w:rsidRPr="0082364D">
        <w:rPr>
          <w:lang w:eastAsia="fr-CA"/>
        </w:rPr>
        <w:t xml:space="preserve">E-mail: </w:t>
      </w:r>
      <w:hyperlink r:id="rId9" w:history="1">
        <w:r w:rsidR="00491EA6" w:rsidRPr="00A13950">
          <w:rPr>
            <w:rStyle w:val="Lienhypertexte"/>
          </w:rPr>
          <w:t>braille.inlb@ssss.gouv.qc.ca</w:t>
        </w:r>
      </w:hyperlink>
    </w:p>
    <w:p w:rsidR="00FA44E0" w:rsidRPr="0082364D" w:rsidRDefault="00FA44E0" w:rsidP="00CE0EEF">
      <w:pPr>
        <w:rPr>
          <w:lang w:eastAsia="fr-CA"/>
        </w:rPr>
      </w:pPr>
      <w:r w:rsidRPr="0082364D">
        <w:rPr>
          <w:lang w:eastAsia="fr-CA"/>
        </w:rPr>
        <w:t xml:space="preserve">Notes: Make sure </w:t>
      </w:r>
      <w:r w:rsidR="00CE0EEF" w:rsidRPr="0082364D">
        <w:rPr>
          <w:lang w:eastAsia="fr-CA"/>
        </w:rPr>
        <w:t>you modified your Jaws</w:t>
      </w:r>
      <w:r w:rsidR="00CA6CB6">
        <w:rPr>
          <w:lang w:eastAsia="fr-CA"/>
        </w:rPr>
        <w:t>'</w:t>
      </w:r>
      <w:r w:rsidR="00CE0EEF" w:rsidRPr="0082364D">
        <w:rPr>
          <w:lang w:eastAsia="fr-CA"/>
        </w:rPr>
        <w:t xml:space="preserve"> reading </w:t>
      </w:r>
      <w:r w:rsidRPr="0082364D">
        <w:rPr>
          <w:lang w:eastAsia="fr-CA"/>
        </w:rPr>
        <w:t>parameters by activating language detection and most punctuations reading.</w:t>
      </w:r>
      <w:r w:rsidR="00DC70D0" w:rsidRPr="0082364D">
        <w:rPr>
          <w:lang w:eastAsia="fr-CA"/>
        </w:rPr>
        <w:t>}</w:t>
      </w:r>
    </w:p>
    <w:p w:rsidR="00FE5549" w:rsidRDefault="00FA44E0" w:rsidP="00DC70D0">
      <w:pPr>
        <w:pStyle w:val="Titre1"/>
        <w:rPr>
          <w:lang w:eastAsia="fr-CA"/>
        </w:rPr>
      </w:pPr>
      <w:bookmarkStart w:id="1" w:name="_Toc512350045"/>
      <w:r w:rsidRPr="0082364D">
        <w:rPr>
          <w:lang w:eastAsia="fr-CA"/>
        </w:rPr>
        <w:t>Special symbols</w:t>
      </w:r>
      <w:bookmarkEnd w:id="1"/>
    </w:p>
    <w:p w:rsidR="00CA6CB6" w:rsidRDefault="00CA6CB6" w:rsidP="000A3638">
      <w:pPr>
        <w:rPr>
          <w:lang w:eastAsia="fr-CA"/>
        </w:rPr>
      </w:pPr>
      <w:r w:rsidRPr="00CA6CB6">
        <w:rPr>
          <w:lang w:eastAsia="fr-CA"/>
        </w:rPr>
        <w:t>{</w:t>
      </w:r>
      <w:proofErr w:type="gramStart"/>
      <w:r w:rsidRPr="00CA6CB6">
        <w:rPr>
          <w:lang w:eastAsia="fr-CA"/>
        </w:rPr>
        <w:t>n</w:t>
      </w:r>
      <w:proofErr w:type="gramEnd"/>
      <w:r w:rsidRPr="00CA6CB6">
        <w:rPr>
          <w:lang w:eastAsia="fr-CA"/>
        </w:rPr>
        <w:t xml:space="preserve"> followed by a number, a * or any other indicator} point out the presence of a footnote reference in the text and enters the corresponding footnote</w:t>
      </w:r>
    </w:p>
    <w:p w:rsidR="000A3638" w:rsidRDefault="006065BA" w:rsidP="000A3638">
      <w:pPr>
        <w:rPr>
          <w:lang w:eastAsia="fr-CA"/>
        </w:rPr>
      </w:pPr>
      <w:r w:rsidRPr="006065BA">
        <w:rPr>
          <w:lang w:eastAsia="fr-CA"/>
        </w:rPr>
        <w:t>{</w:t>
      </w:r>
      <w:proofErr w:type="spellStart"/>
      <w:proofErr w:type="gramStart"/>
      <w:r w:rsidRPr="006065BA">
        <w:rPr>
          <w:lang w:eastAsia="fr-CA"/>
        </w:rPr>
        <w:t>ms</w:t>
      </w:r>
      <w:proofErr w:type="spellEnd"/>
      <w:proofErr w:type="gramEnd"/>
      <w:r w:rsidRPr="006065BA">
        <w:rPr>
          <w:lang w:eastAsia="fr-CA"/>
        </w:rPr>
        <w:t>} minus sign</w:t>
      </w:r>
    </w:p>
    <w:p w:rsidR="00DC70D0" w:rsidRPr="0082364D" w:rsidRDefault="00DC70D0" w:rsidP="00DC70D0">
      <w:pPr>
        <w:pStyle w:val="Titre1"/>
      </w:pPr>
      <w:bookmarkStart w:id="2" w:name="_Toc512350046"/>
      <w:r w:rsidRPr="0082364D">
        <w:lastRenderedPageBreak/>
        <w:t>Navigation links</w:t>
      </w:r>
      <w:bookmarkEnd w:id="2"/>
    </w:p>
    <w:p w:rsidR="00952832" w:rsidRDefault="000A3638">
      <w:pPr>
        <w:pStyle w:val="TM1"/>
        <w:tabs>
          <w:tab w:val="right" w:leader="dot" w:pos="9350"/>
        </w:tabs>
        <w:rPr>
          <w:rFonts w:asciiTheme="minorHAnsi" w:eastAsiaTheme="minorEastAsia" w:hAnsiTheme="minorHAnsi" w:cstheme="minorBidi"/>
          <w:noProof/>
          <w:sz w:val="22"/>
          <w:szCs w:val="22"/>
          <w:lang w:val="fr-CA" w:eastAsia="fr-CA"/>
        </w:rPr>
      </w:pPr>
      <w:r>
        <w:fldChar w:fldCharType="begin"/>
      </w:r>
      <w:r>
        <w:instrText xml:space="preserve"> TOC \o "1-3" \n \h \z \u </w:instrText>
      </w:r>
      <w:r>
        <w:fldChar w:fldCharType="separate"/>
      </w:r>
      <w:hyperlink w:anchor="_Toc512350044" w:history="1">
        <w:r w:rsidR="00952832" w:rsidRPr="00255276">
          <w:rPr>
            <w:rStyle w:val="Lienhypertexte"/>
            <w:noProof/>
          </w:rPr>
          <w:t>Producer notes</w:t>
        </w:r>
      </w:hyperlink>
    </w:p>
    <w:p w:rsidR="00952832" w:rsidRDefault="0075326F">
      <w:pPr>
        <w:pStyle w:val="TM1"/>
        <w:tabs>
          <w:tab w:val="right" w:leader="dot" w:pos="9350"/>
        </w:tabs>
        <w:rPr>
          <w:rFonts w:asciiTheme="minorHAnsi" w:eastAsiaTheme="minorEastAsia" w:hAnsiTheme="minorHAnsi" w:cstheme="minorBidi"/>
          <w:noProof/>
          <w:sz w:val="22"/>
          <w:szCs w:val="22"/>
          <w:lang w:val="fr-CA" w:eastAsia="fr-CA"/>
        </w:rPr>
      </w:pPr>
      <w:hyperlink w:anchor="_Toc512350045" w:history="1">
        <w:r w:rsidR="00952832" w:rsidRPr="00255276">
          <w:rPr>
            <w:rStyle w:val="Lienhypertexte"/>
            <w:noProof/>
            <w:lang w:eastAsia="fr-CA"/>
          </w:rPr>
          <w:t>Special symbols</w:t>
        </w:r>
      </w:hyperlink>
    </w:p>
    <w:p w:rsidR="00952832" w:rsidRDefault="0075326F">
      <w:pPr>
        <w:pStyle w:val="TM1"/>
        <w:tabs>
          <w:tab w:val="right" w:leader="dot" w:pos="9350"/>
        </w:tabs>
        <w:rPr>
          <w:rFonts w:asciiTheme="minorHAnsi" w:eastAsiaTheme="minorEastAsia" w:hAnsiTheme="minorHAnsi" w:cstheme="minorBidi"/>
          <w:noProof/>
          <w:sz w:val="22"/>
          <w:szCs w:val="22"/>
          <w:lang w:val="fr-CA" w:eastAsia="fr-CA"/>
        </w:rPr>
      </w:pPr>
      <w:hyperlink w:anchor="_Toc512350046" w:history="1">
        <w:r w:rsidR="00952832" w:rsidRPr="00255276">
          <w:rPr>
            <w:rStyle w:val="Lienhypertexte"/>
            <w:noProof/>
          </w:rPr>
          <w:t>Navigation links</w:t>
        </w:r>
      </w:hyperlink>
    </w:p>
    <w:p w:rsidR="00952832" w:rsidRDefault="0075326F">
      <w:pPr>
        <w:pStyle w:val="TM1"/>
        <w:tabs>
          <w:tab w:val="right" w:leader="dot" w:pos="9350"/>
        </w:tabs>
        <w:rPr>
          <w:rFonts w:asciiTheme="minorHAnsi" w:eastAsiaTheme="minorEastAsia" w:hAnsiTheme="minorHAnsi" w:cstheme="minorBidi"/>
          <w:noProof/>
          <w:sz w:val="22"/>
          <w:szCs w:val="22"/>
          <w:lang w:val="fr-CA" w:eastAsia="fr-CA"/>
        </w:rPr>
      </w:pPr>
      <w:hyperlink w:anchor="_Toc512350047" w:history="1">
        <w:r w:rsidR="00952832" w:rsidRPr="00255276">
          <w:rPr>
            <w:rStyle w:val="Lienhypertexte"/>
            <w:noProof/>
          </w:rPr>
          <w:t>Individuals with sensory and cognitive impairments face additional challenges compared to those with cognitive difficulties alone: Analysis of interRAI data from home care and long-term care</w:t>
        </w:r>
      </w:hyperlink>
    </w:p>
    <w:p w:rsidR="00952832" w:rsidRDefault="0075326F">
      <w:pPr>
        <w:pStyle w:val="TM2"/>
        <w:tabs>
          <w:tab w:val="right" w:leader="dot" w:pos="9350"/>
        </w:tabs>
        <w:rPr>
          <w:rFonts w:asciiTheme="minorHAnsi" w:eastAsiaTheme="minorEastAsia" w:hAnsiTheme="minorHAnsi" w:cstheme="minorBidi"/>
          <w:noProof/>
          <w:sz w:val="22"/>
          <w:szCs w:val="22"/>
          <w:lang w:val="fr-CA" w:eastAsia="fr-CA"/>
        </w:rPr>
      </w:pPr>
      <w:hyperlink w:anchor="_Toc512350048" w:history="1">
        <w:r w:rsidR="00952832" w:rsidRPr="00255276">
          <w:rPr>
            <w:rStyle w:val="Lienhypertexte"/>
            <w:noProof/>
          </w:rPr>
          <w:t>Introduction</w:t>
        </w:r>
      </w:hyperlink>
    </w:p>
    <w:p w:rsidR="00952832" w:rsidRDefault="0075326F">
      <w:pPr>
        <w:pStyle w:val="TM2"/>
        <w:tabs>
          <w:tab w:val="right" w:leader="dot" w:pos="9350"/>
        </w:tabs>
        <w:rPr>
          <w:rFonts w:asciiTheme="minorHAnsi" w:eastAsiaTheme="minorEastAsia" w:hAnsiTheme="minorHAnsi" w:cstheme="minorBidi"/>
          <w:noProof/>
          <w:sz w:val="22"/>
          <w:szCs w:val="22"/>
          <w:lang w:val="fr-CA" w:eastAsia="fr-CA"/>
        </w:rPr>
      </w:pPr>
      <w:hyperlink w:anchor="_Toc512350049" w:history="1">
        <w:r w:rsidR="00952832" w:rsidRPr="00255276">
          <w:rPr>
            <w:rStyle w:val="Lienhypertexte"/>
            <w:noProof/>
          </w:rPr>
          <w:t>Methods</w:t>
        </w:r>
      </w:hyperlink>
    </w:p>
    <w:p w:rsidR="00952832" w:rsidRDefault="0075326F">
      <w:pPr>
        <w:pStyle w:val="TM2"/>
        <w:tabs>
          <w:tab w:val="right" w:leader="dot" w:pos="9350"/>
        </w:tabs>
        <w:rPr>
          <w:rFonts w:asciiTheme="minorHAnsi" w:eastAsiaTheme="minorEastAsia" w:hAnsiTheme="minorHAnsi" w:cstheme="minorBidi"/>
          <w:noProof/>
          <w:sz w:val="22"/>
          <w:szCs w:val="22"/>
          <w:lang w:val="fr-CA" w:eastAsia="fr-CA"/>
        </w:rPr>
      </w:pPr>
      <w:hyperlink w:anchor="_Toc512350050" w:history="1">
        <w:r w:rsidR="00952832" w:rsidRPr="00255276">
          <w:rPr>
            <w:rStyle w:val="Lienhypertexte"/>
            <w:noProof/>
          </w:rPr>
          <w:t>Results</w:t>
        </w:r>
      </w:hyperlink>
    </w:p>
    <w:p w:rsidR="00952832" w:rsidRDefault="0075326F">
      <w:pPr>
        <w:pStyle w:val="TM3"/>
        <w:tabs>
          <w:tab w:val="right" w:leader="dot" w:pos="9350"/>
        </w:tabs>
        <w:rPr>
          <w:rFonts w:asciiTheme="minorHAnsi" w:eastAsiaTheme="minorEastAsia" w:hAnsiTheme="minorHAnsi" w:cstheme="minorBidi"/>
          <w:noProof/>
          <w:sz w:val="22"/>
          <w:szCs w:val="22"/>
          <w:lang w:val="fr-CA" w:eastAsia="fr-CA"/>
        </w:rPr>
      </w:pPr>
      <w:hyperlink w:anchor="_Toc512350051" w:history="1">
        <w:r w:rsidR="00952832" w:rsidRPr="00255276">
          <w:rPr>
            <w:rStyle w:val="Lienhypertexte"/>
            <w:noProof/>
          </w:rPr>
          <w:t>Table 1: Characteristics of home care clients with CI only and CI + DSI</w:t>
        </w:r>
      </w:hyperlink>
    </w:p>
    <w:p w:rsidR="00952832" w:rsidRDefault="0075326F">
      <w:pPr>
        <w:pStyle w:val="TM3"/>
        <w:tabs>
          <w:tab w:val="right" w:leader="dot" w:pos="9350"/>
        </w:tabs>
        <w:rPr>
          <w:rFonts w:asciiTheme="minorHAnsi" w:eastAsiaTheme="minorEastAsia" w:hAnsiTheme="minorHAnsi" w:cstheme="minorBidi"/>
          <w:noProof/>
          <w:sz w:val="22"/>
          <w:szCs w:val="22"/>
          <w:lang w:val="fr-CA" w:eastAsia="fr-CA"/>
        </w:rPr>
      </w:pPr>
      <w:hyperlink w:anchor="_Toc512350052" w:history="1">
        <w:r w:rsidR="00952832" w:rsidRPr="00255276">
          <w:rPr>
            <w:rStyle w:val="Lienhypertexte"/>
            <w:noProof/>
          </w:rPr>
          <w:t>Table 2: Characteristics of long-term care residents with CI only and CI + DSI</w:t>
        </w:r>
      </w:hyperlink>
    </w:p>
    <w:p w:rsidR="00952832" w:rsidRDefault="0075326F">
      <w:pPr>
        <w:pStyle w:val="TM2"/>
        <w:tabs>
          <w:tab w:val="right" w:leader="dot" w:pos="9350"/>
        </w:tabs>
        <w:rPr>
          <w:rFonts w:asciiTheme="minorHAnsi" w:eastAsiaTheme="minorEastAsia" w:hAnsiTheme="minorHAnsi" w:cstheme="minorBidi"/>
          <w:noProof/>
          <w:sz w:val="22"/>
          <w:szCs w:val="22"/>
          <w:lang w:val="fr-CA" w:eastAsia="fr-CA"/>
        </w:rPr>
      </w:pPr>
      <w:hyperlink w:anchor="_Toc512350053" w:history="1">
        <w:r w:rsidR="00952832" w:rsidRPr="00255276">
          <w:rPr>
            <w:rStyle w:val="Lienhypertexte"/>
            <w:noProof/>
          </w:rPr>
          <w:t>Discussion</w:t>
        </w:r>
      </w:hyperlink>
    </w:p>
    <w:p w:rsidR="00952832" w:rsidRDefault="0075326F">
      <w:pPr>
        <w:pStyle w:val="TM2"/>
        <w:tabs>
          <w:tab w:val="right" w:leader="dot" w:pos="9350"/>
        </w:tabs>
        <w:rPr>
          <w:rFonts w:asciiTheme="minorHAnsi" w:eastAsiaTheme="minorEastAsia" w:hAnsiTheme="minorHAnsi" w:cstheme="minorBidi"/>
          <w:noProof/>
          <w:sz w:val="22"/>
          <w:szCs w:val="22"/>
          <w:lang w:val="fr-CA" w:eastAsia="fr-CA"/>
        </w:rPr>
      </w:pPr>
      <w:hyperlink w:anchor="_Toc512350054" w:history="1">
        <w:r w:rsidR="00952832" w:rsidRPr="00255276">
          <w:rPr>
            <w:rStyle w:val="Lienhypertexte"/>
            <w:noProof/>
          </w:rPr>
          <w:t>References</w:t>
        </w:r>
      </w:hyperlink>
    </w:p>
    <w:p w:rsidR="00101812" w:rsidRDefault="000A3638" w:rsidP="00101812">
      <w:pPr>
        <w:pStyle w:val="Titre1"/>
      </w:pPr>
      <w:r>
        <w:fldChar w:fldCharType="end"/>
      </w:r>
      <w:bookmarkStart w:id="3" w:name="_Toc512350047"/>
      <w:r w:rsidR="00101812">
        <w:t xml:space="preserve">Individuals with sensory and cognitive impairments face additional challenges compared to those with cognitive difficulties alone: Analysis of </w:t>
      </w:r>
      <w:proofErr w:type="spellStart"/>
      <w:r w:rsidR="00101812">
        <w:t>interRAI</w:t>
      </w:r>
      <w:proofErr w:type="spellEnd"/>
      <w:r w:rsidR="00101812">
        <w:t xml:space="preserve"> data from home care and long-term care</w:t>
      </w:r>
      <w:bookmarkEnd w:id="3"/>
    </w:p>
    <w:p w:rsidR="00101812" w:rsidRDefault="00101812" w:rsidP="00101812">
      <w:r>
        <w:t xml:space="preserve">N. Williams, </w:t>
      </w:r>
      <w:proofErr w:type="gramStart"/>
      <w:r>
        <w:t>MSc</w:t>
      </w:r>
      <w:r w:rsidR="001C7161">
        <w:t>{</w:t>
      </w:r>
      <w:proofErr w:type="gramEnd"/>
      <w:r w:rsidR="001C7161">
        <w:t>n1}</w:t>
      </w:r>
      <w:r>
        <w:t>, D. M. Guthrie, PhD</w:t>
      </w:r>
      <w:r w:rsidR="001C7161">
        <w:t>{n1,2}</w:t>
      </w:r>
      <w:r>
        <w:t>, J. G. S. Davidson, MSc</w:t>
      </w:r>
      <w:r w:rsidR="001C7161">
        <w:t>{n1}</w:t>
      </w:r>
      <w:r>
        <w:t>, N. Phillips, PhD</w:t>
      </w:r>
      <w:r w:rsidR="001C7161">
        <w:t>{n3}</w:t>
      </w:r>
      <w:r>
        <w:t xml:space="preserve">, and W. </w:t>
      </w:r>
      <w:proofErr w:type="spellStart"/>
      <w:r>
        <w:t>Wittich</w:t>
      </w:r>
      <w:proofErr w:type="spellEnd"/>
      <w:r>
        <w:t>, PhD</w:t>
      </w:r>
      <w:r w:rsidR="001C7161">
        <w:t>{n4}</w:t>
      </w:r>
    </w:p>
    <w:p w:rsidR="001C7161" w:rsidRDefault="001C7161" w:rsidP="00101812">
      <w:r>
        <w:t xml:space="preserve">{n1} </w:t>
      </w:r>
      <w:r w:rsidR="00101812">
        <w:t>Department of Kinesiology and Physical Education</w:t>
      </w:r>
      <w:r>
        <w:t>,</w:t>
      </w:r>
    </w:p>
    <w:p w:rsidR="001C7161" w:rsidRDefault="001C7161" w:rsidP="00101812">
      <w:r>
        <w:lastRenderedPageBreak/>
        <w:t xml:space="preserve">{n2} </w:t>
      </w:r>
      <w:r w:rsidR="00101812">
        <w:t>Department of Health Sciences</w:t>
      </w:r>
      <w:r>
        <w:t>,</w:t>
      </w:r>
    </w:p>
    <w:p w:rsidR="001C7161" w:rsidRDefault="001C7161" w:rsidP="00101812">
      <w:r>
        <w:t xml:space="preserve">{n3} </w:t>
      </w:r>
      <w:r w:rsidR="00101812">
        <w:t>Wilfrid Laurier University, Department of Psychology, Concordia University</w:t>
      </w:r>
      <w:r>
        <w:t>,</w:t>
      </w:r>
    </w:p>
    <w:p w:rsidR="00101812" w:rsidRDefault="001C7161" w:rsidP="00101812">
      <w:r>
        <w:t xml:space="preserve">{n4} </w:t>
      </w:r>
      <w:r w:rsidR="00101812">
        <w:t>School of Optometry, University of Montreal</w:t>
      </w:r>
    </w:p>
    <w:p w:rsidR="00101812" w:rsidRDefault="0075326F" w:rsidP="00101812">
      <w:hyperlink r:id="rId10" w:history="1">
        <w:r w:rsidR="001C7161" w:rsidRPr="003C0E86">
          <w:rPr>
            <w:rStyle w:val="Lienhypertexte"/>
          </w:rPr>
          <w:t>nwilliams@wlu.ca</w:t>
        </w:r>
      </w:hyperlink>
    </w:p>
    <w:p w:rsidR="001C7161" w:rsidRDefault="001C7161" w:rsidP="001C7161">
      <w:pPr>
        <w:pStyle w:val="Titre2"/>
      </w:pPr>
      <w:bookmarkStart w:id="4" w:name="_Toc512350048"/>
      <w:r>
        <w:t>Introduction</w:t>
      </w:r>
      <w:bookmarkEnd w:id="4"/>
    </w:p>
    <w:p w:rsidR="00101812" w:rsidRDefault="00101812" w:rsidP="00101812">
      <w:r>
        <w:t xml:space="preserve">Sensory losses and cognitive impairments are highly prevalent in older adults (65+) and are associated with difficulties in communication, mood and functional </w:t>
      </w:r>
      <w:proofErr w:type="gramStart"/>
      <w:r>
        <w:t>ability</w:t>
      </w:r>
      <w:r w:rsidR="001C7161">
        <w:t>{</w:t>
      </w:r>
      <w:proofErr w:type="gramEnd"/>
      <w:r w:rsidR="001C7161">
        <w:t>n1}</w:t>
      </w:r>
    </w:p>
    <w:p w:rsidR="00101812" w:rsidRDefault="00101812" w:rsidP="00101812">
      <w:r>
        <w:t>The main object of the study was to understand the relationships between sensory and cognitive impairments</w:t>
      </w:r>
    </w:p>
    <w:p w:rsidR="00101812" w:rsidRDefault="00101812" w:rsidP="001C7161">
      <w:pPr>
        <w:pStyle w:val="Titre2"/>
      </w:pPr>
      <w:bookmarkStart w:id="5" w:name="_Toc512350049"/>
      <w:r>
        <w:t>M</w:t>
      </w:r>
      <w:r w:rsidR="001C7161">
        <w:t>ethods</w:t>
      </w:r>
      <w:bookmarkEnd w:id="5"/>
    </w:p>
    <w:p w:rsidR="001C7161" w:rsidRDefault="00101812" w:rsidP="001C7161">
      <w:pPr>
        <w:pStyle w:val="Liste"/>
      </w:pPr>
      <w:r>
        <w:t>Seconda</w:t>
      </w:r>
      <w:r w:rsidR="001C7161">
        <w:t>ry analysis was completed on:</w:t>
      </w:r>
    </w:p>
    <w:p w:rsidR="001C7161" w:rsidRDefault="00101812" w:rsidP="001C7161">
      <w:pPr>
        <w:pStyle w:val="Liste"/>
        <w:numPr>
          <w:ilvl w:val="1"/>
          <w:numId w:val="3"/>
        </w:numPr>
      </w:pPr>
      <w:r>
        <w:t>A sample of Ontario home care clients (n</w:t>
      </w:r>
      <w:r w:rsidR="00620755">
        <w:t xml:space="preserve"> </w:t>
      </w:r>
      <w:r>
        <w:t>=</w:t>
      </w:r>
      <w:r w:rsidR="00620755">
        <w:t xml:space="preserve"> </w:t>
      </w:r>
      <w:r>
        <w:t>291,824) using the Resident Assessment Instrument for Home Care (RAI-</w:t>
      </w:r>
      <w:r w:rsidR="001C7161">
        <w:t>HC)</w:t>
      </w:r>
    </w:p>
    <w:p w:rsidR="00101812" w:rsidRDefault="00101812" w:rsidP="001C7161">
      <w:pPr>
        <w:pStyle w:val="Liste"/>
        <w:numPr>
          <w:ilvl w:val="1"/>
          <w:numId w:val="3"/>
        </w:numPr>
      </w:pPr>
      <w:r>
        <w:t>A sample of long-term care (LTC) residents (n</w:t>
      </w:r>
      <w:r w:rsidR="00620755">
        <w:t xml:space="preserve"> </w:t>
      </w:r>
      <w:r>
        <w:t>=</w:t>
      </w:r>
      <w:r w:rsidR="00620755">
        <w:t xml:space="preserve"> </w:t>
      </w:r>
      <w:r>
        <w:t>110,578) using the Minimum Data Set 2.0 (MDS 2.0)</w:t>
      </w:r>
    </w:p>
    <w:p w:rsidR="00101812" w:rsidRDefault="00101812" w:rsidP="001C7161">
      <w:pPr>
        <w:pStyle w:val="Liste"/>
      </w:pPr>
      <w:r>
        <w:t>For individuals with multiple assessments, the most recent assessment completed between 2009-2014 was chosen for analysis</w:t>
      </w:r>
    </w:p>
    <w:p w:rsidR="00101812" w:rsidRDefault="00101812" w:rsidP="001C7161">
      <w:pPr>
        <w:pStyle w:val="Liste"/>
      </w:pPr>
      <w:r>
        <w:t>In each sample, individuals were separated</w:t>
      </w:r>
      <w:r w:rsidR="001C7161">
        <w:t xml:space="preserve"> </w:t>
      </w:r>
      <w:r w:rsidR="00620755">
        <w:t>into eight mutually exclusive</w:t>
      </w:r>
      <w:r w:rsidR="00620755">
        <w:br/>
      </w:r>
      <w:r>
        <w:t>sub-groups;</w:t>
      </w:r>
    </w:p>
    <w:p w:rsidR="00101812" w:rsidRDefault="00101812" w:rsidP="001C7161">
      <w:pPr>
        <w:pStyle w:val="Liste"/>
        <w:numPr>
          <w:ilvl w:val="1"/>
          <w:numId w:val="3"/>
        </w:numPr>
      </w:pPr>
      <w:r>
        <w:t>No impairments</w:t>
      </w:r>
    </w:p>
    <w:p w:rsidR="00101812" w:rsidRDefault="00101812" w:rsidP="001C7161">
      <w:pPr>
        <w:pStyle w:val="Liste"/>
        <w:numPr>
          <w:ilvl w:val="1"/>
          <w:numId w:val="3"/>
        </w:numPr>
      </w:pPr>
      <w:r>
        <w:t>Hearing impairment (HI)</w:t>
      </w:r>
    </w:p>
    <w:p w:rsidR="00101812" w:rsidRDefault="00101812" w:rsidP="001C7161">
      <w:pPr>
        <w:pStyle w:val="Liste"/>
        <w:numPr>
          <w:ilvl w:val="1"/>
          <w:numId w:val="3"/>
        </w:numPr>
      </w:pPr>
      <w:r>
        <w:t>Vision impairment (VI)</w:t>
      </w:r>
    </w:p>
    <w:p w:rsidR="00101812" w:rsidRDefault="00101812" w:rsidP="001C7161">
      <w:pPr>
        <w:pStyle w:val="Liste"/>
        <w:numPr>
          <w:ilvl w:val="1"/>
          <w:numId w:val="3"/>
        </w:numPr>
      </w:pPr>
      <w:r>
        <w:t>Dual sensory impairment (DSI)</w:t>
      </w:r>
    </w:p>
    <w:p w:rsidR="00101812" w:rsidRDefault="00101812" w:rsidP="001C7161">
      <w:pPr>
        <w:pStyle w:val="Liste"/>
        <w:numPr>
          <w:ilvl w:val="1"/>
          <w:numId w:val="3"/>
        </w:numPr>
      </w:pPr>
      <w:r>
        <w:lastRenderedPageBreak/>
        <w:t>Cognitive impairment (CI) only</w:t>
      </w:r>
    </w:p>
    <w:p w:rsidR="00101812" w:rsidRDefault="00101812" w:rsidP="001C7161">
      <w:pPr>
        <w:pStyle w:val="Liste"/>
        <w:numPr>
          <w:ilvl w:val="1"/>
          <w:numId w:val="3"/>
        </w:numPr>
        <w:contextualSpacing/>
      </w:pPr>
      <w:r>
        <w:t>Combination of sensory and cognitive</w:t>
      </w:r>
      <w:r w:rsidR="001C7161">
        <w:t xml:space="preserve"> </w:t>
      </w:r>
      <w:r>
        <w:t>impairment</w:t>
      </w:r>
    </w:p>
    <w:p w:rsidR="00101812" w:rsidRDefault="00101812" w:rsidP="001C7161">
      <w:pPr>
        <w:pStyle w:val="Liste"/>
        <w:numPr>
          <w:ilvl w:val="2"/>
          <w:numId w:val="3"/>
        </w:numPr>
        <w:contextualSpacing/>
      </w:pPr>
      <w:r>
        <w:t>CI + VI</w:t>
      </w:r>
    </w:p>
    <w:p w:rsidR="00101812" w:rsidRDefault="00101812" w:rsidP="001C7161">
      <w:pPr>
        <w:pStyle w:val="Liste"/>
        <w:numPr>
          <w:ilvl w:val="2"/>
          <w:numId w:val="3"/>
        </w:numPr>
        <w:contextualSpacing/>
      </w:pPr>
      <w:r>
        <w:t>CI + HI</w:t>
      </w:r>
    </w:p>
    <w:p w:rsidR="001C7161" w:rsidRDefault="001C7161" w:rsidP="001C7161">
      <w:pPr>
        <w:pStyle w:val="Liste"/>
        <w:numPr>
          <w:ilvl w:val="2"/>
          <w:numId w:val="3"/>
        </w:numPr>
        <w:contextualSpacing/>
      </w:pPr>
      <w:r>
        <w:t>CI + DSI</w:t>
      </w:r>
    </w:p>
    <w:p w:rsidR="001C7161" w:rsidRDefault="001C7161" w:rsidP="000B5233">
      <w:pPr>
        <w:pStyle w:val="Titre2"/>
      </w:pPr>
      <w:bookmarkStart w:id="6" w:name="_Toc512350050"/>
      <w:r>
        <w:t>Results</w:t>
      </w:r>
      <w:bookmarkEnd w:id="6"/>
    </w:p>
    <w:p w:rsidR="00101812" w:rsidRDefault="00101812" w:rsidP="000B5233">
      <w:pPr>
        <w:pStyle w:val="Titre3"/>
      </w:pPr>
      <w:bookmarkStart w:id="7" w:name="_Toc512350051"/>
      <w:r>
        <w:t>Table 1: Characteristics of home care clients with CI only and CI + DSI</w:t>
      </w:r>
      <w:bookmarkEnd w:id="7"/>
    </w:p>
    <w:p w:rsidR="00101812" w:rsidRDefault="00101812" w:rsidP="00FB3885">
      <w:pPr>
        <w:pStyle w:val="Titre4"/>
      </w:pPr>
      <w:r>
        <w:t>Home care</w:t>
      </w:r>
    </w:p>
    <w:tbl>
      <w:tblPr>
        <w:tblStyle w:val="Grilledutableau"/>
        <w:tblW w:w="0" w:type="auto"/>
        <w:tblLook w:val="04A0" w:firstRow="1" w:lastRow="0" w:firstColumn="1" w:lastColumn="0" w:noHBand="0" w:noVBand="1"/>
      </w:tblPr>
      <w:tblGrid>
        <w:gridCol w:w="4284"/>
        <w:gridCol w:w="2682"/>
        <w:gridCol w:w="2682"/>
      </w:tblGrid>
      <w:tr w:rsidR="00FB3885" w:rsidRPr="00FB3885" w:rsidTr="006041D5">
        <w:trPr>
          <w:tblHeader/>
        </w:trPr>
        <w:tc>
          <w:tcPr>
            <w:tcW w:w="4284" w:type="dxa"/>
          </w:tcPr>
          <w:p w:rsidR="00FB3885" w:rsidRPr="00FB3885" w:rsidRDefault="00FB3885" w:rsidP="00FB3885">
            <w:pPr>
              <w:jc w:val="center"/>
              <w:rPr>
                <w:b/>
              </w:rPr>
            </w:pPr>
          </w:p>
        </w:tc>
        <w:tc>
          <w:tcPr>
            <w:tcW w:w="2682" w:type="dxa"/>
          </w:tcPr>
          <w:p w:rsidR="00FB3885" w:rsidRPr="00FB3885" w:rsidRDefault="00FB3885" w:rsidP="006041D5">
            <w:pPr>
              <w:jc w:val="center"/>
              <w:rPr>
                <w:b/>
              </w:rPr>
            </w:pPr>
            <w:r w:rsidRPr="00FB3885">
              <w:rPr>
                <w:b/>
              </w:rPr>
              <w:t>CI only</w:t>
            </w:r>
            <w:r w:rsidR="006041D5">
              <w:rPr>
                <w:b/>
              </w:rPr>
              <w:br/>
            </w:r>
            <w:r w:rsidRPr="00FB3885">
              <w:rPr>
                <w:b/>
              </w:rPr>
              <w:t>(n</w:t>
            </w:r>
            <w:r w:rsidR="00B30DFB">
              <w:rPr>
                <w:b/>
              </w:rPr>
              <w:t xml:space="preserve"> </w:t>
            </w:r>
            <w:r w:rsidRPr="00FB3885">
              <w:rPr>
                <w:b/>
              </w:rPr>
              <w:t>=</w:t>
            </w:r>
            <w:r w:rsidR="00B30DFB">
              <w:rPr>
                <w:b/>
              </w:rPr>
              <w:t xml:space="preserve"> </w:t>
            </w:r>
            <w:r w:rsidRPr="00FB3885">
              <w:rPr>
                <w:b/>
              </w:rPr>
              <w:t>54,029)</w:t>
            </w:r>
          </w:p>
        </w:tc>
        <w:tc>
          <w:tcPr>
            <w:tcW w:w="2682" w:type="dxa"/>
          </w:tcPr>
          <w:p w:rsidR="00FB3885" w:rsidRPr="00FB3885" w:rsidRDefault="00FB3885" w:rsidP="006041D5">
            <w:pPr>
              <w:jc w:val="center"/>
              <w:rPr>
                <w:b/>
              </w:rPr>
            </w:pPr>
            <w:r w:rsidRPr="00FB3885">
              <w:rPr>
                <w:b/>
              </w:rPr>
              <w:t>DSI+CI</w:t>
            </w:r>
            <w:r w:rsidR="006041D5">
              <w:rPr>
                <w:b/>
              </w:rPr>
              <w:br/>
            </w:r>
            <w:r w:rsidRPr="00FB3885">
              <w:rPr>
                <w:b/>
              </w:rPr>
              <w:t>(n</w:t>
            </w:r>
            <w:r w:rsidR="00B30DFB">
              <w:rPr>
                <w:b/>
              </w:rPr>
              <w:t xml:space="preserve"> </w:t>
            </w:r>
            <w:r w:rsidRPr="00FB3885">
              <w:rPr>
                <w:b/>
              </w:rPr>
              <w:t>=</w:t>
            </w:r>
            <w:r w:rsidR="00B30DFB">
              <w:rPr>
                <w:b/>
              </w:rPr>
              <w:t xml:space="preserve"> </w:t>
            </w:r>
            <w:r w:rsidRPr="00FB3885">
              <w:rPr>
                <w:b/>
              </w:rPr>
              <w:t>49,452)</w:t>
            </w:r>
          </w:p>
        </w:tc>
      </w:tr>
      <w:tr w:rsidR="00FB3885" w:rsidRPr="00FB3885" w:rsidTr="006041D5">
        <w:tc>
          <w:tcPr>
            <w:tcW w:w="4284" w:type="dxa"/>
          </w:tcPr>
          <w:p w:rsidR="00FB3885" w:rsidRPr="00FB3885" w:rsidRDefault="00FB3885" w:rsidP="004655AA">
            <w:r w:rsidRPr="00FB3885">
              <w:t>Aged 85 +</w:t>
            </w:r>
          </w:p>
        </w:tc>
        <w:tc>
          <w:tcPr>
            <w:tcW w:w="2682" w:type="dxa"/>
          </w:tcPr>
          <w:p w:rsidR="00FB3885" w:rsidRPr="00FB3885" w:rsidRDefault="00FB3885" w:rsidP="004655AA">
            <w:r w:rsidRPr="00FB3885">
              <w:t>34.1</w:t>
            </w:r>
            <w:r>
              <w:t>%</w:t>
            </w:r>
          </w:p>
        </w:tc>
        <w:tc>
          <w:tcPr>
            <w:tcW w:w="2682" w:type="dxa"/>
          </w:tcPr>
          <w:p w:rsidR="00FB3885" w:rsidRPr="00FB3885" w:rsidRDefault="00FB3885" w:rsidP="004655AA">
            <w:r w:rsidRPr="00FB3885">
              <w:t>64.7</w:t>
            </w:r>
            <w:r>
              <w:t>%</w:t>
            </w:r>
          </w:p>
        </w:tc>
      </w:tr>
      <w:tr w:rsidR="00FB3885" w:rsidRPr="00FB3885" w:rsidTr="006041D5">
        <w:tc>
          <w:tcPr>
            <w:tcW w:w="4284" w:type="dxa"/>
          </w:tcPr>
          <w:p w:rsidR="00FB3885" w:rsidRPr="00FB3885" w:rsidRDefault="00FB3885" w:rsidP="004655AA">
            <w:r w:rsidRPr="00FB3885">
              <w:t>Female</w:t>
            </w:r>
          </w:p>
        </w:tc>
        <w:tc>
          <w:tcPr>
            <w:tcW w:w="2682" w:type="dxa"/>
          </w:tcPr>
          <w:p w:rsidR="00FB3885" w:rsidRPr="00FB3885" w:rsidRDefault="00FB3885" w:rsidP="004655AA">
            <w:r w:rsidRPr="00FB3885">
              <w:t>66.0</w:t>
            </w:r>
            <w:r>
              <w:t>%</w:t>
            </w:r>
          </w:p>
        </w:tc>
        <w:tc>
          <w:tcPr>
            <w:tcW w:w="2682" w:type="dxa"/>
          </w:tcPr>
          <w:p w:rsidR="00FB3885" w:rsidRPr="00FB3885" w:rsidRDefault="00FB3885" w:rsidP="004655AA">
            <w:r w:rsidRPr="00FB3885">
              <w:t>62.2</w:t>
            </w:r>
            <w:r>
              <w:t>%</w:t>
            </w:r>
          </w:p>
        </w:tc>
      </w:tr>
      <w:tr w:rsidR="00FB3885" w:rsidRPr="00FB3885" w:rsidTr="006041D5">
        <w:tc>
          <w:tcPr>
            <w:tcW w:w="4284" w:type="dxa"/>
          </w:tcPr>
          <w:p w:rsidR="00FB3885" w:rsidRPr="00FB3885" w:rsidRDefault="00FB3885" w:rsidP="004655AA">
            <w:r w:rsidRPr="00FB3885">
              <w:t>Widowed/separated/divorced</w:t>
            </w:r>
          </w:p>
        </w:tc>
        <w:tc>
          <w:tcPr>
            <w:tcW w:w="2682" w:type="dxa"/>
          </w:tcPr>
          <w:p w:rsidR="00FB3885" w:rsidRPr="00FB3885" w:rsidRDefault="00FB3885" w:rsidP="004655AA">
            <w:r w:rsidRPr="00FB3885">
              <w:t>52.9</w:t>
            </w:r>
            <w:r>
              <w:t>%</w:t>
            </w:r>
          </w:p>
        </w:tc>
        <w:tc>
          <w:tcPr>
            <w:tcW w:w="2682" w:type="dxa"/>
          </w:tcPr>
          <w:p w:rsidR="00FB3885" w:rsidRPr="00FB3885" w:rsidRDefault="00FB3885" w:rsidP="004655AA">
            <w:r w:rsidRPr="00FB3885">
              <w:t>63.2</w:t>
            </w:r>
            <w:r>
              <w:t>%</w:t>
            </w:r>
          </w:p>
        </w:tc>
      </w:tr>
      <w:tr w:rsidR="00FB3885" w:rsidRPr="00FB3885" w:rsidTr="006041D5">
        <w:tc>
          <w:tcPr>
            <w:tcW w:w="4284" w:type="dxa"/>
          </w:tcPr>
          <w:p w:rsidR="00FB3885" w:rsidRPr="00FB3885" w:rsidRDefault="00FB3885" w:rsidP="004655AA">
            <w:r w:rsidRPr="00FB3885">
              <w:t>Self reported loneliness</w:t>
            </w:r>
          </w:p>
        </w:tc>
        <w:tc>
          <w:tcPr>
            <w:tcW w:w="2682" w:type="dxa"/>
          </w:tcPr>
          <w:p w:rsidR="00FB3885" w:rsidRPr="00FB3885" w:rsidRDefault="00FB3885" w:rsidP="004655AA">
            <w:r w:rsidRPr="00FB3885">
              <w:t>13.0</w:t>
            </w:r>
            <w:r>
              <w:t>%</w:t>
            </w:r>
          </w:p>
        </w:tc>
        <w:tc>
          <w:tcPr>
            <w:tcW w:w="2682" w:type="dxa"/>
          </w:tcPr>
          <w:p w:rsidR="00FB3885" w:rsidRPr="00FB3885" w:rsidRDefault="00FB3885" w:rsidP="004655AA">
            <w:r w:rsidRPr="00FB3885">
              <w:t>17.0</w:t>
            </w:r>
            <w:r>
              <w:t>%</w:t>
            </w:r>
          </w:p>
        </w:tc>
      </w:tr>
      <w:tr w:rsidR="00FB3885" w:rsidRPr="00FB3885" w:rsidTr="006041D5">
        <w:tc>
          <w:tcPr>
            <w:tcW w:w="4284" w:type="dxa"/>
          </w:tcPr>
          <w:p w:rsidR="00FB3885" w:rsidRPr="00FB3885" w:rsidRDefault="00FB3885" w:rsidP="004655AA">
            <w:r w:rsidRPr="00FB3885">
              <w:t>ADL impairment</w:t>
            </w:r>
          </w:p>
        </w:tc>
        <w:tc>
          <w:tcPr>
            <w:tcW w:w="2682" w:type="dxa"/>
          </w:tcPr>
          <w:p w:rsidR="00FB3885" w:rsidRPr="00FB3885" w:rsidRDefault="00FB3885" w:rsidP="004655AA">
            <w:r w:rsidRPr="00FB3885">
              <w:t>42.7</w:t>
            </w:r>
            <w:r>
              <w:t>%</w:t>
            </w:r>
          </w:p>
        </w:tc>
        <w:tc>
          <w:tcPr>
            <w:tcW w:w="2682" w:type="dxa"/>
          </w:tcPr>
          <w:p w:rsidR="00FB3885" w:rsidRPr="00FB3885" w:rsidRDefault="00FB3885" w:rsidP="004655AA">
            <w:r w:rsidRPr="00FB3885">
              <w:t>57.5</w:t>
            </w:r>
            <w:r>
              <w:t>%</w:t>
            </w:r>
          </w:p>
        </w:tc>
      </w:tr>
      <w:tr w:rsidR="00FB3885" w:rsidRPr="00FB3885" w:rsidTr="006041D5">
        <w:tc>
          <w:tcPr>
            <w:tcW w:w="4284" w:type="dxa"/>
          </w:tcPr>
          <w:p w:rsidR="00FB3885" w:rsidRPr="00FB3885" w:rsidRDefault="00FB3885" w:rsidP="004655AA">
            <w:r w:rsidRPr="00FB3885">
              <w:t>IADL impairment</w:t>
            </w:r>
          </w:p>
        </w:tc>
        <w:tc>
          <w:tcPr>
            <w:tcW w:w="2682" w:type="dxa"/>
          </w:tcPr>
          <w:p w:rsidR="00FB3885" w:rsidRPr="00FB3885" w:rsidRDefault="00FB3885" w:rsidP="004655AA">
            <w:r w:rsidRPr="00FB3885">
              <w:t>71.3</w:t>
            </w:r>
            <w:r>
              <w:t>%</w:t>
            </w:r>
          </w:p>
        </w:tc>
        <w:tc>
          <w:tcPr>
            <w:tcW w:w="2682" w:type="dxa"/>
          </w:tcPr>
          <w:p w:rsidR="00FB3885" w:rsidRPr="00FB3885" w:rsidRDefault="00FB3885" w:rsidP="004655AA">
            <w:r w:rsidRPr="00FB3885">
              <w:t>82.0</w:t>
            </w:r>
            <w:r>
              <w:t>%</w:t>
            </w:r>
          </w:p>
        </w:tc>
      </w:tr>
      <w:tr w:rsidR="00FB3885" w:rsidTr="006041D5">
        <w:tc>
          <w:tcPr>
            <w:tcW w:w="4284" w:type="dxa"/>
          </w:tcPr>
          <w:p w:rsidR="00FB3885" w:rsidRPr="00FB3885" w:rsidRDefault="00FB3885" w:rsidP="004655AA">
            <w:r w:rsidRPr="00FB3885">
              <w:t>Moderate/severe difficulty understanding others</w:t>
            </w:r>
          </w:p>
        </w:tc>
        <w:tc>
          <w:tcPr>
            <w:tcW w:w="2682" w:type="dxa"/>
          </w:tcPr>
          <w:p w:rsidR="00FB3885" w:rsidRPr="00FB3885" w:rsidRDefault="00FB3885" w:rsidP="004655AA">
            <w:r w:rsidRPr="00FB3885">
              <w:t>25.1</w:t>
            </w:r>
            <w:r>
              <w:t>%</w:t>
            </w:r>
          </w:p>
        </w:tc>
        <w:tc>
          <w:tcPr>
            <w:tcW w:w="2682" w:type="dxa"/>
          </w:tcPr>
          <w:p w:rsidR="00FB3885" w:rsidRDefault="00FB3885" w:rsidP="004655AA">
            <w:r w:rsidRPr="00FB3885">
              <w:t>38.0</w:t>
            </w:r>
            <w:r>
              <w:t>%</w:t>
            </w:r>
          </w:p>
        </w:tc>
      </w:tr>
    </w:tbl>
    <w:p w:rsidR="006041D5" w:rsidRDefault="006041D5" w:rsidP="006041D5">
      <w:pPr>
        <w:pStyle w:val="Titre3"/>
      </w:pPr>
      <w:bookmarkStart w:id="8" w:name="_Toc512350052"/>
      <w:r>
        <w:t>Table 2: Characteristics of long-term care residents with CI only and CI + DSI</w:t>
      </w:r>
      <w:bookmarkEnd w:id="8"/>
    </w:p>
    <w:p w:rsidR="00101812" w:rsidRDefault="00101812" w:rsidP="006041D5">
      <w:pPr>
        <w:pStyle w:val="Titre4"/>
      </w:pPr>
      <w:r>
        <w:t>Long-term care</w:t>
      </w:r>
    </w:p>
    <w:tbl>
      <w:tblPr>
        <w:tblStyle w:val="Grilledutableau"/>
        <w:tblW w:w="0" w:type="auto"/>
        <w:tblLook w:val="04A0" w:firstRow="1" w:lastRow="0" w:firstColumn="1" w:lastColumn="0" w:noHBand="0" w:noVBand="1"/>
      </w:tblPr>
      <w:tblGrid>
        <w:gridCol w:w="4284"/>
        <w:gridCol w:w="2682"/>
        <w:gridCol w:w="2682"/>
      </w:tblGrid>
      <w:tr w:rsidR="006041D5" w:rsidRPr="00FB3885" w:rsidTr="006041D5">
        <w:trPr>
          <w:tblHeader/>
        </w:trPr>
        <w:tc>
          <w:tcPr>
            <w:tcW w:w="4284" w:type="dxa"/>
          </w:tcPr>
          <w:p w:rsidR="006041D5" w:rsidRPr="00FB3885" w:rsidRDefault="006041D5" w:rsidP="00EF2815">
            <w:pPr>
              <w:jc w:val="center"/>
              <w:rPr>
                <w:b/>
              </w:rPr>
            </w:pPr>
          </w:p>
        </w:tc>
        <w:tc>
          <w:tcPr>
            <w:tcW w:w="2682" w:type="dxa"/>
          </w:tcPr>
          <w:p w:rsidR="006041D5" w:rsidRPr="00FB3885" w:rsidRDefault="006041D5" w:rsidP="00EF2815">
            <w:pPr>
              <w:jc w:val="center"/>
              <w:rPr>
                <w:b/>
              </w:rPr>
            </w:pPr>
            <w:r w:rsidRPr="00FB3885">
              <w:rPr>
                <w:b/>
              </w:rPr>
              <w:t>CI only</w:t>
            </w:r>
            <w:r>
              <w:rPr>
                <w:b/>
              </w:rPr>
              <w:br/>
            </w:r>
            <w:r w:rsidRPr="006041D5">
              <w:rPr>
                <w:b/>
              </w:rPr>
              <w:t>(n</w:t>
            </w:r>
            <w:r w:rsidR="00B30DFB">
              <w:rPr>
                <w:b/>
              </w:rPr>
              <w:t xml:space="preserve"> </w:t>
            </w:r>
            <w:r w:rsidRPr="006041D5">
              <w:rPr>
                <w:b/>
              </w:rPr>
              <w:t>=</w:t>
            </w:r>
            <w:r w:rsidR="00B30DFB">
              <w:rPr>
                <w:b/>
              </w:rPr>
              <w:t xml:space="preserve"> </w:t>
            </w:r>
            <w:r w:rsidRPr="006041D5">
              <w:rPr>
                <w:b/>
              </w:rPr>
              <w:t>31,142)</w:t>
            </w:r>
          </w:p>
        </w:tc>
        <w:tc>
          <w:tcPr>
            <w:tcW w:w="2682" w:type="dxa"/>
          </w:tcPr>
          <w:p w:rsidR="006041D5" w:rsidRPr="00FB3885" w:rsidRDefault="006041D5" w:rsidP="00EF2815">
            <w:pPr>
              <w:jc w:val="center"/>
              <w:rPr>
                <w:b/>
              </w:rPr>
            </w:pPr>
            <w:r w:rsidRPr="00FB3885">
              <w:rPr>
                <w:b/>
              </w:rPr>
              <w:t>DSI+CI</w:t>
            </w:r>
            <w:r>
              <w:rPr>
                <w:b/>
              </w:rPr>
              <w:br/>
            </w:r>
            <w:r w:rsidRPr="006041D5">
              <w:rPr>
                <w:b/>
              </w:rPr>
              <w:t>(n</w:t>
            </w:r>
            <w:r w:rsidR="00B30DFB">
              <w:rPr>
                <w:b/>
              </w:rPr>
              <w:t xml:space="preserve"> </w:t>
            </w:r>
            <w:r w:rsidRPr="006041D5">
              <w:rPr>
                <w:b/>
              </w:rPr>
              <w:t>=</w:t>
            </w:r>
            <w:r w:rsidR="00B30DFB">
              <w:rPr>
                <w:b/>
              </w:rPr>
              <w:t xml:space="preserve"> </w:t>
            </w:r>
            <w:r w:rsidRPr="006041D5">
              <w:rPr>
                <w:b/>
              </w:rPr>
              <w:t>30,349)</w:t>
            </w:r>
          </w:p>
        </w:tc>
      </w:tr>
      <w:tr w:rsidR="006041D5" w:rsidRPr="006041D5" w:rsidTr="006041D5">
        <w:tc>
          <w:tcPr>
            <w:tcW w:w="4284" w:type="dxa"/>
          </w:tcPr>
          <w:p w:rsidR="006041D5" w:rsidRPr="006041D5" w:rsidRDefault="006041D5" w:rsidP="001E5683">
            <w:r w:rsidRPr="006041D5">
              <w:t>Age 85+</w:t>
            </w:r>
          </w:p>
        </w:tc>
        <w:tc>
          <w:tcPr>
            <w:tcW w:w="2682" w:type="dxa"/>
          </w:tcPr>
          <w:p w:rsidR="006041D5" w:rsidRPr="006041D5" w:rsidRDefault="006041D5" w:rsidP="001E5683">
            <w:r w:rsidRPr="006041D5">
              <w:t>53.4</w:t>
            </w:r>
            <w:r>
              <w:t>%</w:t>
            </w:r>
          </w:p>
        </w:tc>
        <w:tc>
          <w:tcPr>
            <w:tcW w:w="2682" w:type="dxa"/>
          </w:tcPr>
          <w:p w:rsidR="006041D5" w:rsidRPr="006041D5" w:rsidRDefault="006041D5" w:rsidP="001E5683">
            <w:r w:rsidRPr="006041D5">
              <w:t>75.8</w:t>
            </w:r>
            <w:r>
              <w:t>%</w:t>
            </w:r>
          </w:p>
        </w:tc>
      </w:tr>
      <w:tr w:rsidR="006041D5" w:rsidRPr="006041D5" w:rsidTr="006041D5">
        <w:tc>
          <w:tcPr>
            <w:tcW w:w="4284" w:type="dxa"/>
          </w:tcPr>
          <w:p w:rsidR="006041D5" w:rsidRPr="006041D5" w:rsidRDefault="006041D5" w:rsidP="001E5683">
            <w:r w:rsidRPr="006041D5">
              <w:t>Female</w:t>
            </w:r>
          </w:p>
        </w:tc>
        <w:tc>
          <w:tcPr>
            <w:tcW w:w="2682" w:type="dxa"/>
          </w:tcPr>
          <w:p w:rsidR="006041D5" w:rsidRPr="006041D5" w:rsidRDefault="006041D5" w:rsidP="001E5683">
            <w:r w:rsidRPr="006041D5">
              <w:t>70.3</w:t>
            </w:r>
            <w:r>
              <w:t>%</w:t>
            </w:r>
          </w:p>
        </w:tc>
        <w:tc>
          <w:tcPr>
            <w:tcW w:w="2682" w:type="dxa"/>
          </w:tcPr>
          <w:p w:rsidR="006041D5" w:rsidRPr="006041D5" w:rsidRDefault="006041D5" w:rsidP="001E5683">
            <w:r w:rsidRPr="006041D5">
              <w:t>71.8</w:t>
            </w:r>
            <w:r>
              <w:t>%</w:t>
            </w:r>
          </w:p>
        </w:tc>
      </w:tr>
      <w:tr w:rsidR="006041D5" w:rsidRPr="006041D5" w:rsidTr="006041D5">
        <w:tc>
          <w:tcPr>
            <w:tcW w:w="4284" w:type="dxa"/>
          </w:tcPr>
          <w:p w:rsidR="006041D5" w:rsidRPr="006041D5" w:rsidRDefault="006041D5" w:rsidP="001E5683">
            <w:r w:rsidRPr="006041D5">
              <w:t>Widowed/separated/divorced</w:t>
            </w:r>
          </w:p>
        </w:tc>
        <w:tc>
          <w:tcPr>
            <w:tcW w:w="2682" w:type="dxa"/>
          </w:tcPr>
          <w:p w:rsidR="006041D5" w:rsidRPr="006041D5" w:rsidRDefault="006041D5" w:rsidP="001E5683">
            <w:r w:rsidRPr="006041D5">
              <w:t>63.3</w:t>
            </w:r>
            <w:r>
              <w:t>%</w:t>
            </w:r>
          </w:p>
        </w:tc>
        <w:tc>
          <w:tcPr>
            <w:tcW w:w="2682" w:type="dxa"/>
          </w:tcPr>
          <w:p w:rsidR="006041D5" w:rsidRPr="006041D5" w:rsidRDefault="006041D5" w:rsidP="001E5683">
            <w:r w:rsidRPr="006041D5">
              <w:t>70.3</w:t>
            </w:r>
            <w:r>
              <w:t>%</w:t>
            </w:r>
          </w:p>
        </w:tc>
      </w:tr>
      <w:tr w:rsidR="006041D5" w:rsidRPr="006041D5" w:rsidTr="006041D5">
        <w:tc>
          <w:tcPr>
            <w:tcW w:w="4284" w:type="dxa"/>
          </w:tcPr>
          <w:p w:rsidR="006041D5" w:rsidRPr="006041D5" w:rsidRDefault="006041D5" w:rsidP="001E5683">
            <w:r w:rsidRPr="006041D5">
              <w:t>Purses involvement in life of facility</w:t>
            </w:r>
          </w:p>
        </w:tc>
        <w:tc>
          <w:tcPr>
            <w:tcW w:w="2682" w:type="dxa"/>
          </w:tcPr>
          <w:p w:rsidR="006041D5" w:rsidRPr="006041D5" w:rsidRDefault="006041D5" w:rsidP="001E5683">
            <w:r w:rsidRPr="006041D5">
              <w:t>22.9</w:t>
            </w:r>
            <w:r>
              <w:t>%</w:t>
            </w:r>
          </w:p>
        </w:tc>
        <w:tc>
          <w:tcPr>
            <w:tcW w:w="2682" w:type="dxa"/>
          </w:tcPr>
          <w:p w:rsidR="006041D5" w:rsidRPr="006041D5" w:rsidRDefault="006041D5" w:rsidP="001E5683">
            <w:r w:rsidRPr="006041D5">
              <w:t>14.0</w:t>
            </w:r>
            <w:r>
              <w:t>%</w:t>
            </w:r>
          </w:p>
        </w:tc>
      </w:tr>
      <w:tr w:rsidR="006041D5" w:rsidRPr="006041D5" w:rsidTr="006041D5">
        <w:tc>
          <w:tcPr>
            <w:tcW w:w="4284" w:type="dxa"/>
          </w:tcPr>
          <w:p w:rsidR="006041D5" w:rsidRPr="006041D5" w:rsidRDefault="006041D5" w:rsidP="001E5683">
            <w:r w:rsidRPr="006041D5">
              <w:t>At ease interacting with others</w:t>
            </w:r>
          </w:p>
        </w:tc>
        <w:tc>
          <w:tcPr>
            <w:tcW w:w="2682" w:type="dxa"/>
          </w:tcPr>
          <w:p w:rsidR="006041D5" w:rsidRPr="006041D5" w:rsidRDefault="006041D5" w:rsidP="001E5683">
            <w:r w:rsidRPr="006041D5">
              <w:t>56.4</w:t>
            </w:r>
            <w:r>
              <w:t>%</w:t>
            </w:r>
          </w:p>
        </w:tc>
        <w:tc>
          <w:tcPr>
            <w:tcW w:w="2682" w:type="dxa"/>
          </w:tcPr>
          <w:p w:rsidR="006041D5" w:rsidRPr="006041D5" w:rsidRDefault="006041D5" w:rsidP="001E5683">
            <w:r w:rsidRPr="006041D5">
              <w:t>44.3</w:t>
            </w:r>
            <w:r>
              <w:t>%</w:t>
            </w:r>
          </w:p>
        </w:tc>
      </w:tr>
      <w:tr w:rsidR="006041D5" w:rsidRPr="006041D5" w:rsidTr="006041D5">
        <w:tc>
          <w:tcPr>
            <w:tcW w:w="4284" w:type="dxa"/>
          </w:tcPr>
          <w:p w:rsidR="006041D5" w:rsidRPr="006041D5" w:rsidRDefault="006041D5" w:rsidP="001E5683">
            <w:r w:rsidRPr="006041D5">
              <w:t>ADL impairment</w:t>
            </w:r>
          </w:p>
        </w:tc>
        <w:tc>
          <w:tcPr>
            <w:tcW w:w="2682" w:type="dxa"/>
          </w:tcPr>
          <w:p w:rsidR="006041D5" w:rsidRPr="006041D5" w:rsidRDefault="006041D5" w:rsidP="001E5683">
            <w:r w:rsidRPr="006041D5">
              <w:t>93.1</w:t>
            </w:r>
            <w:r>
              <w:t>%</w:t>
            </w:r>
          </w:p>
        </w:tc>
        <w:tc>
          <w:tcPr>
            <w:tcW w:w="2682" w:type="dxa"/>
          </w:tcPr>
          <w:p w:rsidR="006041D5" w:rsidRPr="006041D5" w:rsidRDefault="006041D5" w:rsidP="001E5683">
            <w:r w:rsidRPr="006041D5">
              <w:t>97.1</w:t>
            </w:r>
            <w:r>
              <w:t>%</w:t>
            </w:r>
          </w:p>
        </w:tc>
      </w:tr>
      <w:tr w:rsidR="006041D5" w:rsidTr="006041D5">
        <w:tc>
          <w:tcPr>
            <w:tcW w:w="4284" w:type="dxa"/>
          </w:tcPr>
          <w:p w:rsidR="006041D5" w:rsidRPr="006041D5" w:rsidRDefault="006041D5" w:rsidP="001E5683">
            <w:r w:rsidRPr="006041D5">
              <w:t>Moderate/severe difficulty understanding others</w:t>
            </w:r>
          </w:p>
        </w:tc>
        <w:tc>
          <w:tcPr>
            <w:tcW w:w="2682" w:type="dxa"/>
          </w:tcPr>
          <w:p w:rsidR="006041D5" w:rsidRPr="006041D5" w:rsidRDefault="006041D5" w:rsidP="001E5683">
            <w:r w:rsidRPr="006041D5">
              <w:t>27.7</w:t>
            </w:r>
            <w:r>
              <w:t>%</w:t>
            </w:r>
          </w:p>
        </w:tc>
        <w:tc>
          <w:tcPr>
            <w:tcW w:w="2682" w:type="dxa"/>
          </w:tcPr>
          <w:p w:rsidR="006041D5" w:rsidRDefault="006041D5" w:rsidP="001E5683">
            <w:r w:rsidRPr="006041D5">
              <w:t>49.2</w:t>
            </w:r>
            <w:r>
              <w:t>%</w:t>
            </w:r>
          </w:p>
        </w:tc>
      </w:tr>
    </w:tbl>
    <w:p w:rsidR="00101812" w:rsidRDefault="00101812" w:rsidP="00101812">
      <w:pPr>
        <w:rPr>
          <w:b/>
        </w:rPr>
      </w:pPr>
      <w:r w:rsidRPr="000B5233">
        <w:rPr>
          <w:b/>
        </w:rPr>
        <w:t>Figure 1: A comparison of clients in home care and long-term care with all three impairments (CI + DSI)</w:t>
      </w:r>
    </w:p>
    <w:p w:rsidR="008A7EE0" w:rsidRPr="008A7EE0" w:rsidRDefault="008A7EE0" w:rsidP="008A7EE0">
      <w:r w:rsidRPr="008A7EE0">
        <w:t>{Chart not described}</w:t>
      </w:r>
    </w:p>
    <w:p w:rsidR="00101812" w:rsidRDefault="00101812" w:rsidP="008A7EE0">
      <w:pPr>
        <w:pStyle w:val="Titre2"/>
      </w:pPr>
      <w:bookmarkStart w:id="9" w:name="_Toc512350053"/>
      <w:r>
        <w:t>D</w:t>
      </w:r>
      <w:r w:rsidR="008A7EE0">
        <w:t>iscussion</w:t>
      </w:r>
      <w:bookmarkEnd w:id="9"/>
    </w:p>
    <w:p w:rsidR="00101812" w:rsidRDefault="00101812" w:rsidP="007A51F5">
      <w:pPr>
        <w:pStyle w:val="Liste"/>
      </w:pPr>
      <w:r>
        <w:t>Compared to all other sub-groups, clients with all three impairments (CI + DSI) were more likely to report loneliness, have reduced social engagements and greater functional impairment</w:t>
      </w:r>
    </w:p>
    <w:p w:rsidR="00101812" w:rsidRDefault="00101812" w:rsidP="007A51F5">
      <w:pPr>
        <w:pStyle w:val="Liste"/>
      </w:pPr>
      <w:r>
        <w:t>Older adults with CI + DSI were more likely to have impairments in functional dependence, skills for daily decision-making and communication, compared to individuals with CI alone</w:t>
      </w:r>
    </w:p>
    <w:p w:rsidR="00101812" w:rsidRDefault="00101812" w:rsidP="007A51F5">
      <w:pPr>
        <w:pStyle w:val="Liste"/>
      </w:pPr>
      <w:r>
        <w:t>Sensory and cognitive impairments are highly prevalent in both home care and long-term care settings and are potentially modifiable making them an important target for interventions to reduce negative health outcomes</w:t>
      </w:r>
    </w:p>
    <w:p w:rsidR="00101812" w:rsidRDefault="00101812" w:rsidP="007A51F5">
      <w:pPr>
        <w:pStyle w:val="Titre2"/>
      </w:pPr>
      <w:bookmarkStart w:id="10" w:name="_Toc512350054"/>
      <w:r>
        <w:t>References</w:t>
      </w:r>
      <w:bookmarkEnd w:id="10"/>
    </w:p>
    <w:p w:rsidR="00101812" w:rsidRDefault="00952832" w:rsidP="00101812">
      <w:r>
        <w:lastRenderedPageBreak/>
        <w:t>{n</w:t>
      </w:r>
      <w:r w:rsidR="00101812">
        <w:t>1</w:t>
      </w:r>
      <w:r>
        <w:t>}</w:t>
      </w:r>
      <w:r w:rsidR="00101812">
        <w:t xml:space="preserve"> Pinto JM, Kern DW, </w:t>
      </w:r>
      <w:proofErr w:type="spellStart"/>
      <w:r w:rsidR="00101812">
        <w:t>Wroblewski</w:t>
      </w:r>
      <w:proofErr w:type="spellEnd"/>
      <w:r w:rsidR="00101812">
        <w:t xml:space="preserve"> KE, Chen RC, </w:t>
      </w:r>
      <w:proofErr w:type="spellStart"/>
      <w:r w:rsidR="00101812">
        <w:t>Schimm</w:t>
      </w:r>
      <w:proofErr w:type="spellEnd"/>
      <w:r w:rsidR="00101812">
        <w:t xml:space="preserve"> LP, et al., (2014) Sensory function: insights from Wave 2 of the National Social Life, Health and Aging Project. J </w:t>
      </w:r>
      <w:proofErr w:type="spellStart"/>
      <w:r w:rsidR="00101812">
        <w:t>Gerontol</w:t>
      </w:r>
      <w:proofErr w:type="spellEnd"/>
      <w:r w:rsidR="00101812">
        <w:t xml:space="preserve"> B </w:t>
      </w:r>
      <w:proofErr w:type="spellStart"/>
      <w:r w:rsidR="00101812">
        <w:t>Psychol</w:t>
      </w:r>
      <w:proofErr w:type="spellEnd"/>
      <w:r w:rsidR="00101812">
        <w:t xml:space="preserve"> </w:t>
      </w:r>
      <w:proofErr w:type="spellStart"/>
      <w:r w:rsidR="00101812">
        <w:t>Sci</w:t>
      </w:r>
      <w:proofErr w:type="spellEnd"/>
      <w:r w:rsidR="00101812">
        <w:t xml:space="preserve"> </w:t>
      </w:r>
      <w:proofErr w:type="spellStart"/>
      <w:r w:rsidR="00101812">
        <w:t>Soc</w:t>
      </w:r>
      <w:proofErr w:type="spellEnd"/>
      <w:r w:rsidR="00101812">
        <w:t xml:space="preserve"> </w:t>
      </w:r>
      <w:proofErr w:type="spellStart"/>
      <w:r w:rsidR="00101812">
        <w:t>Sci</w:t>
      </w:r>
      <w:proofErr w:type="spellEnd"/>
      <w:r w:rsidR="00101812">
        <w:t xml:space="preserve"> 69 </w:t>
      </w:r>
      <w:proofErr w:type="spellStart"/>
      <w:r w:rsidR="00101812">
        <w:t>Suppl</w:t>
      </w:r>
      <w:proofErr w:type="spellEnd"/>
      <w:r w:rsidR="00101812">
        <w:t xml:space="preserve"> 2: S144-153.</w:t>
      </w:r>
    </w:p>
    <w:p w:rsidR="00B30DFB" w:rsidRDefault="00B30DFB" w:rsidP="00101812">
      <w:r>
        <w:t>{Box}</w:t>
      </w:r>
    </w:p>
    <w:p w:rsidR="008A7DAA" w:rsidRPr="001907C5" w:rsidRDefault="00101812" w:rsidP="00101812">
      <w:r>
        <w:t xml:space="preserve">The authors gratefully acknowledge the financial support provided by the Canadian Consortium on Neurodegeneration in Aging (CCNA). The CCNA is supported by a grant from the Canadian Institutes of Health Research (CIHR) with funding from several </w:t>
      </w:r>
      <w:proofErr w:type="gramStart"/>
      <w:r>
        <w:t>partners</w:t>
      </w:r>
      <w:r w:rsidR="00B30DFB">
        <w:t>{</w:t>
      </w:r>
      <w:proofErr w:type="gramEnd"/>
      <w:r w:rsidR="00B30DFB">
        <w:t>/Box}</w:t>
      </w:r>
      <w:bookmarkStart w:id="11" w:name="_GoBack"/>
      <w:bookmarkEnd w:id="11"/>
    </w:p>
    <w:sectPr w:rsidR="008A7DAA" w:rsidRPr="001907C5" w:rsidSect="00930F2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01" w:rsidRDefault="00330901">
      <w:r>
        <w:separator/>
      </w:r>
    </w:p>
    <w:p w:rsidR="00330901" w:rsidRDefault="00330901"/>
    <w:p w:rsidR="00330901" w:rsidRDefault="00330901"/>
    <w:p w:rsidR="00330901" w:rsidRDefault="00330901"/>
  </w:endnote>
  <w:endnote w:type="continuationSeparator" w:id="0">
    <w:p w:rsidR="00330901" w:rsidRDefault="00330901">
      <w:r>
        <w:continuationSeparator/>
      </w:r>
    </w:p>
    <w:p w:rsidR="00330901" w:rsidRDefault="00330901"/>
    <w:p w:rsidR="00330901" w:rsidRDefault="00330901"/>
    <w:p w:rsidR="00330901" w:rsidRDefault="00330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01" w:rsidRDefault="00330901">
      <w:r>
        <w:separator/>
      </w:r>
    </w:p>
    <w:p w:rsidR="00330901" w:rsidRDefault="00330901"/>
    <w:p w:rsidR="00330901" w:rsidRDefault="00330901"/>
  </w:footnote>
  <w:footnote w:type="continuationSeparator" w:id="0">
    <w:p w:rsidR="00330901" w:rsidRDefault="00330901">
      <w:r>
        <w:continuationSeparator/>
      </w:r>
    </w:p>
    <w:p w:rsidR="00330901" w:rsidRDefault="00330901"/>
    <w:p w:rsidR="00330901" w:rsidRDefault="00330901"/>
    <w:p w:rsidR="00330901" w:rsidRDefault="003309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01"/>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15D60"/>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81D"/>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589D"/>
    <w:rsid w:val="0009613E"/>
    <w:rsid w:val="00096DC6"/>
    <w:rsid w:val="0009711E"/>
    <w:rsid w:val="000972C6"/>
    <w:rsid w:val="000973F5"/>
    <w:rsid w:val="0009759D"/>
    <w:rsid w:val="00097BA3"/>
    <w:rsid w:val="00097C25"/>
    <w:rsid w:val="000A09D0"/>
    <w:rsid w:val="000A0A03"/>
    <w:rsid w:val="000A10C8"/>
    <w:rsid w:val="000A1668"/>
    <w:rsid w:val="000A2904"/>
    <w:rsid w:val="000A3638"/>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233"/>
    <w:rsid w:val="000B5829"/>
    <w:rsid w:val="000B5D4E"/>
    <w:rsid w:val="000B5DD8"/>
    <w:rsid w:val="000B63EB"/>
    <w:rsid w:val="000B6AD7"/>
    <w:rsid w:val="000B70DC"/>
    <w:rsid w:val="000B7D0E"/>
    <w:rsid w:val="000B7E37"/>
    <w:rsid w:val="000B7E83"/>
    <w:rsid w:val="000C05A2"/>
    <w:rsid w:val="000C0A40"/>
    <w:rsid w:val="000C0A93"/>
    <w:rsid w:val="000C319B"/>
    <w:rsid w:val="000C3A90"/>
    <w:rsid w:val="000C49B9"/>
    <w:rsid w:val="000C5350"/>
    <w:rsid w:val="000C6C07"/>
    <w:rsid w:val="000C6C68"/>
    <w:rsid w:val="000D0286"/>
    <w:rsid w:val="000D02B6"/>
    <w:rsid w:val="000D046A"/>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812"/>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7C5"/>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A7D88"/>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161"/>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219"/>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1195"/>
    <w:rsid w:val="00262306"/>
    <w:rsid w:val="00262BC7"/>
    <w:rsid w:val="00263F3F"/>
    <w:rsid w:val="00265EDA"/>
    <w:rsid w:val="00266656"/>
    <w:rsid w:val="00267D74"/>
    <w:rsid w:val="002703BC"/>
    <w:rsid w:val="00273340"/>
    <w:rsid w:val="00273702"/>
    <w:rsid w:val="0027463C"/>
    <w:rsid w:val="002747E3"/>
    <w:rsid w:val="00275426"/>
    <w:rsid w:val="00276987"/>
    <w:rsid w:val="00277968"/>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5EE"/>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3C0"/>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901"/>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29B3"/>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27E"/>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166"/>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18F1"/>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75"/>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6CA5"/>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1D5"/>
    <w:rsid w:val="00604FD9"/>
    <w:rsid w:val="0060559D"/>
    <w:rsid w:val="00606334"/>
    <w:rsid w:val="006065BA"/>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5068"/>
    <w:rsid w:val="00616013"/>
    <w:rsid w:val="0061630F"/>
    <w:rsid w:val="00616FDB"/>
    <w:rsid w:val="00620755"/>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26F"/>
    <w:rsid w:val="0075364A"/>
    <w:rsid w:val="0075599E"/>
    <w:rsid w:val="007559E3"/>
    <w:rsid w:val="00755BA2"/>
    <w:rsid w:val="007563A8"/>
    <w:rsid w:val="00756759"/>
    <w:rsid w:val="00757D73"/>
    <w:rsid w:val="0076090C"/>
    <w:rsid w:val="00760D3E"/>
    <w:rsid w:val="00761157"/>
    <w:rsid w:val="00761540"/>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5C7F"/>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4A72"/>
    <w:rsid w:val="007A510B"/>
    <w:rsid w:val="007A51F5"/>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4B67"/>
    <w:rsid w:val="007D52BD"/>
    <w:rsid w:val="007D533F"/>
    <w:rsid w:val="007D6739"/>
    <w:rsid w:val="007D6AD8"/>
    <w:rsid w:val="007E009C"/>
    <w:rsid w:val="007E05DA"/>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9D"/>
    <w:rsid w:val="00814ED7"/>
    <w:rsid w:val="00815E50"/>
    <w:rsid w:val="00815E9E"/>
    <w:rsid w:val="008160A9"/>
    <w:rsid w:val="00817004"/>
    <w:rsid w:val="00817023"/>
    <w:rsid w:val="00817A84"/>
    <w:rsid w:val="008203E1"/>
    <w:rsid w:val="008206D1"/>
    <w:rsid w:val="0082135C"/>
    <w:rsid w:val="00821703"/>
    <w:rsid w:val="00821AD7"/>
    <w:rsid w:val="00821E64"/>
    <w:rsid w:val="00821F74"/>
    <w:rsid w:val="008220AA"/>
    <w:rsid w:val="008220AD"/>
    <w:rsid w:val="00822381"/>
    <w:rsid w:val="0082283A"/>
    <w:rsid w:val="008228BA"/>
    <w:rsid w:val="00822ECB"/>
    <w:rsid w:val="0082364D"/>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D5"/>
    <w:rsid w:val="008665E8"/>
    <w:rsid w:val="00866DBE"/>
    <w:rsid w:val="00867B36"/>
    <w:rsid w:val="00870B3D"/>
    <w:rsid w:val="00870D83"/>
    <w:rsid w:val="00871114"/>
    <w:rsid w:val="00871863"/>
    <w:rsid w:val="008724E7"/>
    <w:rsid w:val="00872504"/>
    <w:rsid w:val="0087263E"/>
    <w:rsid w:val="00872773"/>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DAA"/>
    <w:rsid w:val="008A7E9E"/>
    <w:rsid w:val="008A7EE0"/>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4F39"/>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832"/>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A7E70"/>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75"/>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6F10"/>
    <w:rsid w:val="00A07571"/>
    <w:rsid w:val="00A10EBF"/>
    <w:rsid w:val="00A11948"/>
    <w:rsid w:val="00A11C3E"/>
    <w:rsid w:val="00A11DDA"/>
    <w:rsid w:val="00A125B3"/>
    <w:rsid w:val="00A12937"/>
    <w:rsid w:val="00A13151"/>
    <w:rsid w:val="00A1437A"/>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4038"/>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19E6"/>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B9C"/>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2FC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0DFB"/>
    <w:rsid w:val="00B31D6D"/>
    <w:rsid w:val="00B35EB7"/>
    <w:rsid w:val="00B3677B"/>
    <w:rsid w:val="00B36CCD"/>
    <w:rsid w:val="00B36F2E"/>
    <w:rsid w:val="00B3746E"/>
    <w:rsid w:val="00B40644"/>
    <w:rsid w:val="00B40DA1"/>
    <w:rsid w:val="00B424E6"/>
    <w:rsid w:val="00B431FD"/>
    <w:rsid w:val="00B43617"/>
    <w:rsid w:val="00B4373B"/>
    <w:rsid w:val="00B442E6"/>
    <w:rsid w:val="00B450DB"/>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1C56"/>
    <w:rsid w:val="00BB2059"/>
    <w:rsid w:val="00BB21DA"/>
    <w:rsid w:val="00BB22A4"/>
    <w:rsid w:val="00BB2AA8"/>
    <w:rsid w:val="00BB2B40"/>
    <w:rsid w:val="00BB374A"/>
    <w:rsid w:val="00BB3E5C"/>
    <w:rsid w:val="00BB3F17"/>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0039"/>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05B"/>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367F"/>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129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6CB6"/>
    <w:rsid w:val="00CA7378"/>
    <w:rsid w:val="00CA761B"/>
    <w:rsid w:val="00CB13E1"/>
    <w:rsid w:val="00CB1D7B"/>
    <w:rsid w:val="00CB26A9"/>
    <w:rsid w:val="00CB275A"/>
    <w:rsid w:val="00CB2A05"/>
    <w:rsid w:val="00CB2E6F"/>
    <w:rsid w:val="00CB32D9"/>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8CE"/>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1C2"/>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116"/>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3B8C"/>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77D"/>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0D0"/>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C26"/>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21F9"/>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467"/>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833"/>
    <w:rsid w:val="00FA486F"/>
    <w:rsid w:val="00FA5A6B"/>
    <w:rsid w:val="00FA5E00"/>
    <w:rsid w:val="00FA6C7E"/>
    <w:rsid w:val="00FA7FB7"/>
    <w:rsid w:val="00FB0059"/>
    <w:rsid w:val="00FB1D18"/>
    <w:rsid w:val="00FB3885"/>
    <w:rsid w:val="00FB4951"/>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5A1E"/>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549"/>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0A3638"/>
    <w:pPr>
      <w:spacing w:after="100"/>
    </w:pPr>
  </w:style>
  <w:style w:type="paragraph" w:styleId="TM2">
    <w:name w:val="toc 2"/>
    <w:basedOn w:val="Normal"/>
    <w:next w:val="Normal"/>
    <w:autoRedefine/>
    <w:uiPriority w:val="39"/>
    <w:rsid w:val="000A3638"/>
    <w:pPr>
      <w:spacing w:after="100"/>
      <w:ind w:left="240"/>
    </w:pPr>
  </w:style>
  <w:style w:type="paragraph" w:styleId="TM3">
    <w:name w:val="toc 3"/>
    <w:basedOn w:val="Normal"/>
    <w:next w:val="Normal"/>
    <w:autoRedefine/>
    <w:uiPriority w:val="39"/>
    <w:rsid w:val="000A363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0A3638"/>
    <w:pPr>
      <w:spacing w:after="100"/>
    </w:pPr>
  </w:style>
  <w:style w:type="paragraph" w:styleId="TM2">
    <w:name w:val="toc 2"/>
    <w:basedOn w:val="Normal"/>
    <w:next w:val="Normal"/>
    <w:autoRedefine/>
    <w:uiPriority w:val="39"/>
    <w:rsid w:val="000A3638"/>
    <w:pPr>
      <w:spacing w:after="100"/>
      <w:ind w:left="240"/>
    </w:pPr>
  </w:style>
  <w:style w:type="paragraph" w:styleId="TM3">
    <w:name w:val="toc 3"/>
    <w:basedOn w:val="Normal"/>
    <w:next w:val="Normal"/>
    <w:autoRedefine/>
    <w:uiPriority w:val="39"/>
    <w:rsid w:val="000A363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williams@wlu.ca"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F2549D9-F3DA-4212-B65F-031B4B05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27</TotalTime>
  <Pages>6</Pages>
  <Words>769</Words>
  <Characters>4453</Characters>
  <Application>Microsoft Office Word</Application>
  <DocSecurity>0</DocSecurity>
  <Lines>158</Lines>
  <Paragraphs>107</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5132</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4</cp:revision>
  <cp:lastPrinted>2017-06-07T12:27:00Z</cp:lastPrinted>
  <dcterms:created xsi:type="dcterms:W3CDTF">2018-04-25T15:14:00Z</dcterms:created>
  <dcterms:modified xsi:type="dcterms:W3CDTF">2018-04-30T15:25:00Z</dcterms:modified>
</cp:coreProperties>
</file>